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04" w:rsidRDefault="00473F04" w:rsidP="00D25F3C">
      <w:pPr>
        <w:spacing w:beforeLines="550"/>
        <w:jc w:val="center"/>
        <w:rPr>
          <w:rFonts w:eastAsia="华文中宋"/>
          <w:b/>
          <w:bCs/>
          <w:color w:val="FF0000"/>
          <w:spacing w:val="20"/>
          <w:sz w:val="88"/>
          <w:szCs w:val="88"/>
        </w:rPr>
      </w:pPr>
    </w:p>
    <w:p w:rsidR="00473F04" w:rsidRDefault="007D50C4">
      <w:pPr>
        <w:keepNext/>
        <w:keepLines/>
        <w:spacing w:before="340" w:after="330" w:line="576" w:lineRule="auto"/>
        <w:jc w:val="center"/>
        <w:outlineLvl w:val="0"/>
        <w:rPr>
          <w:rFonts w:eastAsia="楷体_GB2312"/>
          <w:kern w:val="44"/>
          <w:sz w:val="30"/>
          <w:szCs w:val="30"/>
        </w:rPr>
      </w:pPr>
      <w:bookmarkStart w:id="0" w:name="_Toc283732539"/>
      <w:r>
        <w:rPr>
          <w:rFonts w:eastAsia="楷体_GB2312" w:cs="楷体_GB2312" w:hint="eastAsia"/>
          <w:kern w:val="44"/>
          <w:sz w:val="30"/>
          <w:szCs w:val="30"/>
        </w:rPr>
        <w:t>第</w:t>
      </w:r>
      <w:r w:rsidR="004F2E84">
        <w:rPr>
          <w:rFonts w:eastAsia="楷体_GB2312" w:cs="楷体_GB2312" w:hint="eastAsia"/>
          <w:kern w:val="44"/>
          <w:sz w:val="30"/>
          <w:szCs w:val="30"/>
        </w:rPr>
        <w:t>27</w:t>
      </w:r>
      <w:r>
        <w:rPr>
          <w:rFonts w:eastAsia="楷体_GB2312" w:cs="楷体_GB2312" w:hint="eastAsia"/>
          <w:kern w:val="44"/>
          <w:sz w:val="30"/>
          <w:szCs w:val="30"/>
        </w:rPr>
        <w:t>期</w:t>
      </w:r>
      <w:bookmarkEnd w:id="0"/>
    </w:p>
    <w:p w:rsidR="00473F04" w:rsidRDefault="007D50C4" w:rsidP="00D25F3C">
      <w:pPr>
        <w:spacing w:beforeLines="100" w:afterLines="100"/>
        <w:jc w:val="center"/>
        <w:rPr>
          <w:rFonts w:eastAsia="楷体_GB2312"/>
          <w:spacing w:val="20"/>
          <w:sz w:val="30"/>
          <w:szCs w:val="30"/>
        </w:rPr>
      </w:pPr>
      <w:r>
        <w:rPr>
          <w:rFonts w:eastAsia="楷体_GB2312" w:cs="楷体_GB2312" w:hint="eastAsia"/>
          <w:spacing w:val="20"/>
          <w:sz w:val="30"/>
          <w:szCs w:val="30"/>
        </w:rPr>
        <w:t>（总第</w:t>
      </w:r>
      <w:r w:rsidR="004F2E84">
        <w:rPr>
          <w:rFonts w:eastAsia="楷体_GB2312" w:cs="楷体_GB2312" w:hint="eastAsia"/>
          <w:spacing w:val="20"/>
          <w:sz w:val="30"/>
          <w:szCs w:val="30"/>
        </w:rPr>
        <w:t>496</w:t>
      </w:r>
      <w:r>
        <w:rPr>
          <w:rFonts w:eastAsia="楷体_GB2312" w:cs="楷体_GB2312" w:hint="eastAsia"/>
          <w:spacing w:val="20"/>
          <w:sz w:val="30"/>
          <w:szCs w:val="30"/>
        </w:rPr>
        <w:t>期）</w:t>
      </w:r>
    </w:p>
    <w:p w:rsidR="00473F04" w:rsidRDefault="007D50C4">
      <w:pPr>
        <w:spacing w:line="360" w:lineRule="auto"/>
        <w:rPr>
          <w:rFonts w:eastAsia="楷体_GB2312"/>
          <w:spacing w:val="20"/>
          <w:sz w:val="30"/>
          <w:szCs w:val="30"/>
        </w:rPr>
      </w:pPr>
      <w:r>
        <w:rPr>
          <w:rFonts w:eastAsia="楷体_GB2312" w:cs="楷体_GB2312" w:hint="eastAsia"/>
          <w:spacing w:val="20"/>
          <w:sz w:val="30"/>
          <w:szCs w:val="30"/>
        </w:rPr>
        <w:t>上海科技发展研究中心</w:t>
      </w:r>
      <w:r>
        <w:rPr>
          <w:rFonts w:eastAsia="楷体_GB2312"/>
          <w:spacing w:val="20"/>
          <w:sz w:val="30"/>
          <w:szCs w:val="30"/>
        </w:rPr>
        <w:t xml:space="preserve">           2017</w:t>
      </w:r>
      <w:r>
        <w:rPr>
          <w:rFonts w:eastAsia="楷体_GB2312" w:cs="楷体_GB2312" w:hint="eastAsia"/>
          <w:spacing w:val="20"/>
          <w:sz w:val="30"/>
          <w:szCs w:val="30"/>
        </w:rPr>
        <w:t>年</w:t>
      </w:r>
      <w:r>
        <w:rPr>
          <w:rFonts w:eastAsia="楷体_GB2312"/>
          <w:spacing w:val="20"/>
          <w:sz w:val="30"/>
          <w:szCs w:val="30"/>
        </w:rPr>
        <w:t>1</w:t>
      </w:r>
      <w:r>
        <w:rPr>
          <w:rFonts w:eastAsia="楷体_GB2312" w:hint="eastAsia"/>
          <w:spacing w:val="20"/>
          <w:sz w:val="30"/>
          <w:szCs w:val="30"/>
        </w:rPr>
        <w:t>1</w:t>
      </w:r>
      <w:r>
        <w:rPr>
          <w:rFonts w:eastAsia="楷体_GB2312" w:cs="楷体_GB2312" w:hint="eastAsia"/>
          <w:spacing w:val="20"/>
          <w:sz w:val="30"/>
          <w:szCs w:val="30"/>
        </w:rPr>
        <w:t>月</w:t>
      </w:r>
      <w:r w:rsidR="004F2E84">
        <w:rPr>
          <w:rFonts w:eastAsia="楷体_GB2312" w:cs="楷体_GB2312" w:hint="eastAsia"/>
          <w:spacing w:val="20"/>
          <w:sz w:val="30"/>
          <w:szCs w:val="30"/>
        </w:rPr>
        <w:t>10</w:t>
      </w:r>
      <w:r>
        <w:rPr>
          <w:rFonts w:eastAsia="楷体_GB2312" w:cs="楷体_GB2312" w:hint="eastAsia"/>
          <w:spacing w:val="20"/>
          <w:sz w:val="30"/>
          <w:szCs w:val="30"/>
        </w:rPr>
        <w:t>日</w:t>
      </w:r>
    </w:p>
    <w:p w:rsidR="00473F04" w:rsidRDefault="007D50C4" w:rsidP="00D25F3C">
      <w:pPr>
        <w:autoSpaceDE w:val="0"/>
        <w:autoSpaceDN w:val="0"/>
        <w:adjustRightInd w:val="0"/>
        <w:spacing w:beforeLines="50" w:afterLines="50" w:line="400" w:lineRule="exact"/>
        <w:rPr>
          <w:rFonts w:eastAsia="华文细黑"/>
          <w:color w:val="000000"/>
        </w:rPr>
      </w:pPr>
      <w:r>
        <w:rPr>
          <w:rFonts w:eastAsia="华文细黑" w:cs="华文细黑" w:hint="eastAsia"/>
          <w:b/>
          <w:bCs/>
        </w:rPr>
        <w:t>编者按：</w:t>
      </w:r>
      <w:r>
        <w:rPr>
          <w:rFonts w:eastAsia="华文细黑"/>
        </w:rPr>
        <w:t>2017</w:t>
      </w:r>
      <w:r>
        <w:rPr>
          <w:rFonts w:eastAsia="华文细黑" w:cs="华文细黑" w:hint="eastAsia"/>
        </w:rPr>
        <w:t>浦江创新论坛——企业论坛以“企业创新全球化”为主题，与会专家学者围绕企业创新全球化的发展历程与现状、我国企业创新全球化的机遇与挑战进行了深入研讨，并对我国企业创新全球化战略布局建言献策。本期简报基于专题研讨会嘉宾</w:t>
      </w:r>
      <w:r>
        <w:rPr>
          <w:rFonts w:eastAsia="华文细黑"/>
          <w:vertAlign w:val="superscript"/>
        </w:rPr>
        <w:footnoteReference w:id="2"/>
      </w:r>
      <w:r>
        <w:rPr>
          <w:rFonts w:eastAsia="华文细黑" w:cs="华文细黑" w:hint="eastAsia"/>
        </w:rPr>
        <w:t>观点整理而成。供参考。</w:t>
      </w:r>
    </w:p>
    <w:p w:rsidR="00473F04" w:rsidRDefault="007D50C4" w:rsidP="00D25F3C">
      <w:pPr>
        <w:spacing w:beforeLines="100"/>
        <w:jc w:val="center"/>
        <w:rPr>
          <w:rFonts w:eastAsia="黑体"/>
          <w:b/>
          <w:sz w:val="32"/>
          <w:szCs w:val="22"/>
        </w:rPr>
      </w:pPr>
      <w:r>
        <w:rPr>
          <w:rFonts w:eastAsia="黑体"/>
          <w:b/>
          <w:sz w:val="32"/>
          <w:szCs w:val="22"/>
        </w:rPr>
        <w:t>2017</w:t>
      </w:r>
      <w:r>
        <w:rPr>
          <w:rFonts w:eastAsia="黑体" w:hint="eastAsia"/>
          <w:b/>
          <w:sz w:val="32"/>
          <w:szCs w:val="22"/>
        </w:rPr>
        <w:t>浦江创新论坛专题简报之</w:t>
      </w:r>
      <w:r w:rsidR="00D25F3C">
        <w:rPr>
          <w:rFonts w:eastAsia="黑体" w:hint="eastAsia"/>
          <w:b/>
          <w:sz w:val="32"/>
          <w:szCs w:val="22"/>
        </w:rPr>
        <w:t>八</w:t>
      </w:r>
    </w:p>
    <w:p w:rsidR="00473F04" w:rsidRDefault="007D50C4">
      <w:pPr>
        <w:spacing w:line="360" w:lineRule="auto"/>
        <w:jc w:val="center"/>
        <w:rPr>
          <w:rFonts w:eastAsia="黑体"/>
          <w:b/>
          <w:color w:val="000000"/>
          <w:kern w:val="44"/>
          <w:sz w:val="32"/>
        </w:rPr>
      </w:pPr>
      <w:r>
        <w:rPr>
          <w:rFonts w:eastAsia="黑体" w:hint="eastAsia"/>
          <w:b/>
          <w:color w:val="000000"/>
          <w:kern w:val="44"/>
          <w:sz w:val="36"/>
          <w:szCs w:val="36"/>
        </w:rPr>
        <w:t>紧抓创新全球化机遇推进我国企业创新发展</w:t>
      </w:r>
    </w:p>
    <w:p w:rsidR="00473F04" w:rsidRDefault="007D50C4" w:rsidP="00D25F3C">
      <w:pPr>
        <w:spacing w:beforeLines="100" w:afterLines="50" w:line="520" w:lineRule="exact"/>
        <w:ind w:firstLineChars="196" w:firstLine="549"/>
        <w:rPr>
          <w:rFonts w:eastAsia="仿宋_GB2312"/>
          <w:kern w:val="0"/>
          <w:sz w:val="28"/>
        </w:rPr>
      </w:pPr>
      <w:r>
        <w:rPr>
          <w:rFonts w:eastAsia="仿宋_GB2312" w:hint="eastAsia"/>
          <w:kern w:val="0"/>
          <w:sz w:val="28"/>
        </w:rPr>
        <w:t>全球化一直在深刻改变着企业的创新发展模式。从通用、大众、丰田到西门子、</w:t>
      </w:r>
      <w:r>
        <w:rPr>
          <w:rFonts w:eastAsia="仿宋_GB2312" w:hint="eastAsia"/>
          <w:kern w:val="0"/>
          <w:sz w:val="28"/>
        </w:rPr>
        <w:t>IBM</w:t>
      </w:r>
      <w:r>
        <w:rPr>
          <w:rFonts w:eastAsia="仿宋_GB2312" w:hint="eastAsia"/>
          <w:kern w:val="0"/>
          <w:sz w:val="28"/>
        </w:rPr>
        <w:t>、微软，再到</w:t>
      </w:r>
      <w:r>
        <w:rPr>
          <w:rFonts w:eastAsia="仿宋_GB2312" w:hint="eastAsia"/>
          <w:kern w:val="0"/>
          <w:sz w:val="28"/>
        </w:rPr>
        <w:t>Google</w:t>
      </w:r>
      <w:r>
        <w:rPr>
          <w:rFonts w:eastAsia="仿宋_GB2312" w:hint="eastAsia"/>
          <w:kern w:val="0"/>
          <w:sz w:val="28"/>
        </w:rPr>
        <w:t>、特斯拉和</w:t>
      </w:r>
      <w:r>
        <w:rPr>
          <w:rFonts w:eastAsia="仿宋_GB2312" w:hint="eastAsia"/>
          <w:kern w:val="0"/>
          <w:sz w:val="28"/>
        </w:rPr>
        <w:t>Uber</w:t>
      </w:r>
      <w:r>
        <w:rPr>
          <w:rFonts w:eastAsia="仿宋_GB2312" w:hint="eastAsia"/>
          <w:kern w:val="0"/>
          <w:sz w:val="28"/>
        </w:rPr>
        <w:t>，从跨国公司的个体行为到创新生态的营造，创新在全球化浪潮中不断自我变化、演进，创造了一个又一个改变我们生活的新生产方式和新商业模式。</w:t>
      </w:r>
      <w:r>
        <w:rPr>
          <w:rFonts w:ascii="楷体_GB2312" w:eastAsia="楷体_GB2312" w:hint="eastAsia"/>
          <w:b/>
          <w:kern w:val="0"/>
          <w:sz w:val="28"/>
        </w:rPr>
        <w:t>与会嘉宾一致认为，中国是创新全球化的重要力量，以华为、阿</w:t>
      </w:r>
      <w:r>
        <w:rPr>
          <w:rFonts w:ascii="楷体_GB2312" w:eastAsia="楷体_GB2312" w:hint="eastAsia"/>
          <w:b/>
          <w:kern w:val="0"/>
          <w:sz w:val="28"/>
        </w:rPr>
        <w:lastRenderedPageBreak/>
        <w:t>里、吉利等为代表的我国企业正加速全球部署创新网络，创新全球化</w:t>
      </w:r>
      <w:r>
        <w:rPr>
          <w:rFonts w:eastAsia="楷体_GB2312"/>
          <w:b/>
          <w:kern w:val="0"/>
          <w:sz w:val="28"/>
        </w:rPr>
        <w:t>已经成为中国企业提升创新力和竞争力的必然趋势。</w:t>
      </w:r>
    </w:p>
    <w:p w:rsidR="00473F04" w:rsidRDefault="007D50C4" w:rsidP="00D25F3C">
      <w:pPr>
        <w:spacing w:beforeLines="50" w:afterLines="50" w:line="520" w:lineRule="exact"/>
        <w:ind w:firstLineChars="196" w:firstLine="590"/>
        <w:rPr>
          <w:rFonts w:eastAsia="黑体"/>
          <w:b/>
          <w:sz w:val="32"/>
        </w:rPr>
      </w:pPr>
      <w:r>
        <w:rPr>
          <w:rFonts w:eastAsia="黑体"/>
          <w:b/>
          <w:sz w:val="30"/>
        </w:rPr>
        <w:t>一、</w:t>
      </w:r>
      <w:r w:rsidR="004F2E84">
        <w:rPr>
          <w:rFonts w:eastAsia="黑体" w:hint="eastAsia"/>
          <w:b/>
          <w:sz w:val="30"/>
        </w:rPr>
        <w:t>“</w:t>
      </w:r>
      <w:r>
        <w:rPr>
          <w:rFonts w:eastAsia="黑体" w:hint="eastAsia"/>
          <w:b/>
          <w:sz w:val="30"/>
        </w:rPr>
        <w:t>对接</w:t>
      </w:r>
      <w:r>
        <w:rPr>
          <w:rFonts w:eastAsia="黑体"/>
          <w:b/>
          <w:sz w:val="30"/>
        </w:rPr>
        <w:t>一个战略、</w:t>
      </w:r>
      <w:r>
        <w:rPr>
          <w:rFonts w:eastAsia="黑体" w:hint="eastAsia"/>
          <w:b/>
          <w:sz w:val="30"/>
        </w:rPr>
        <w:t>聚焦</w:t>
      </w:r>
      <w:r>
        <w:rPr>
          <w:rFonts w:eastAsia="黑体"/>
          <w:b/>
          <w:sz w:val="30"/>
        </w:rPr>
        <w:t>两大领域</w:t>
      </w:r>
      <w:r w:rsidR="004F2E84">
        <w:rPr>
          <w:rFonts w:eastAsia="黑体" w:hint="eastAsia"/>
          <w:b/>
          <w:sz w:val="30"/>
        </w:rPr>
        <w:t>”</w:t>
      </w:r>
      <w:r>
        <w:rPr>
          <w:rFonts w:eastAsia="黑体"/>
          <w:b/>
          <w:sz w:val="30"/>
        </w:rPr>
        <w:t>加速企业创新全球化</w:t>
      </w:r>
    </w:p>
    <w:p w:rsidR="00473F04" w:rsidRDefault="007D50C4" w:rsidP="00D25F3C">
      <w:pPr>
        <w:spacing w:beforeLines="50" w:afterLines="50" w:line="520" w:lineRule="exact"/>
        <w:ind w:firstLineChars="196" w:firstLine="551"/>
        <w:rPr>
          <w:rFonts w:eastAsiaTheme="minorEastAsia"/>
          <w:b/>
          <w:kern w:val="0"/>
          <w:sz w:val="28"/>
        </w:rPr>
      </w:pPr>
      <w:r>
        <w:rPr>
          <w:rFonts w:eastAsia="楷体_GB2312"/>
          <w:b/>
          <w:kern w:val="0"/>
          <w:sz w:val="28"/>
        </w:rPr>
        <w:t>一是</w:t>
      </w:r>
      <w:r>
        <w:rPr>
          <w:rFonts w:eastAsia="楷体_GB2312" w:hint="eastAsia"/>
          <w:b/>
          <w:kern w:val="0"/>
          <w:sz w:val="28"/>
        </w:rPr>
        <w:t>对接</w:t>
      </w:r>
      <w:r w:rsidR="004F2E84">
        <w:rPr>
          <w:rFonts w:eastAsia="楷体_GB2312" w:hint="eastAsia"/>
          <w:b/>
          <w:kern w:val="0"/>
          <w:sz w:val="28"/>
        </w:rPr>
        <w:t>“</w:t>
      </w:r>
      <w:r>
        <w:rPr>
          <w:rFonts w:eastAsia="楷体_GB2312"/>
          <w:b/>
          <w:kern w:val="0"/>
          <w:sz w:val="28"/>
        </w:rPr>
        <w:t>一带一路</w:t>
      </w:r>
      <w:r w:rsidR="004F2E84">
        <w:rPr>
          <w:rFonts w:eastAsia="楷体_GB2312" w:hint="eastAsia"/>
          <w:b/>
          <w:kern w:val="0"/>
          <w:sz w:val="28"/>
        </w:rPr>
        <w:t>”</w:t>
      </w:r>
      <w:r>
        <w:rPr>
          <w:rFonts w:eastAsia="楷体_GB2312" w:hint="eastAsia"/>
          <w:b/>
          <w:kern w:val="0"/>
          <w:sz w:val="28"/>
        </w:rPr>
        <w:t>战略加速全球化创新布局</w:t>
      </w:r>
      <w:r>
        <w:rPr>
          <w:rFonts w:eastAsia="仿宋_GB2312"/>
          <w:kern w:val="0"/>
          <w:sz w:val="28"/>
        </w:rPr>
        <w:t>。</w:t>
      </w:r>
      <w:r>
        <w:rPr>
          <w:rFonts w:eastAsia="仿宋_GB2312" w:hint="eastAsia"/>
          <w:kern w:val="0"/>
          <w:sz w:val="28"/>
        </w:rPr>
        <w:t>伴随着</w:t>
      </w:r>
      <w:r w:rsidR="004F2E84">
        <w:rPr>
          <w:rFonts w:eastAsia="仿宋" w:hint="eastAsia"/>
          <w:sz w:val="30"/>
        </w:rPr>
        <w:t>“</w:t>
      </w:r>
      <w:r>
        <w:rPr>
          <w:rFonts w:eastAsia="仿宋"/>
          <w:sz w:val="30"/>
        </w:rPr>
        <w:t>一带一路</w:t>
      </w:r>
      <w:r w:rsidR="004F2E84">
        <w:rPr>
          <w:rFonts w:eastAsia="仿宋" w:hint="eastAsia"/>
          <w:sz w:val="30"/>
        </w:rPr>
        <w:t>”</w:t>
      </w:r>
      <w:r>
        <w:rPr>
          <w:rFonts w:eastAsia="仿宋_GB2312" w:hint="eastAsia"/>
          <w:kern w:val="0"/>
          <w:sz w:val="28"/>
        </w:rPr>
        <w:t>在亚、非、欧等许多国家和地区进一步全面铺开，加速推动着项目、资金、人才、信息等创新要素的再流动和整合，为中国企业实现创新全球化带来机遇。</w:t>
      </w:r>
      <w:r>
        <w:rPr>
          <w:rFonts w:eastAsia="黑体"/>
          <w:kern w:val="0"/>
          <w:sz w:val="28"/>
        </w:rPr>
        <w:t>阿里云研究中心主任田丰</w:t>
      </w:r>
      <w:r>
        <w:rPr>
          <w:rFonts w:eastAsia="仿宋_GB2312" w:hint="eastAsia"/>
          <w:kern w:val="0"/>
          <w:sz w:val="28"/>
        </w:rPr>
        <w:t>认为</w:t>
      </w:r>
      <w:r>
        <w:rPr>
          <w:rFonts w:eastAsia="仿宋"/>
          <w:kern w:val="0"/>
          <w:sz w:val="28"/>
        </w:rPr>
        <w:t>，</w:t>
      </w:r>
      <w:r>
        <w:rPr>
          <w:rFonts w:eastAsia="仿宋"/>
          <w:sz w:val="30"/>
        </w:rPr>
        <w:t>“</w:t>
      </w:r>
      <w:r>
        <w:rPr>
          <w:rFonts w:eastAsia="仿宋"/>
          <w:sz w:val="30"/>
        </w:rPr>
        <w:t>一带一路</w:t>
      </w:r>
      <w:r>
        <w:rPr>
          <w:rFonts w:eastAsia="仿宋"/>
          <w:sz w:val="30"/>
        </w:rPr>
        <w:t>”</w:t>
      </w:r>
      <w:r>
        <w:rPr>
          <w:rFonts w:eastAsia="仿宋_GB2312" w:hint="eastAsia"/>
          <w:kern w:val="0"/>
          <w:sz w:val="28"/>
        </w:rPr>
        <w:t>沿线国家拥有</w:t>
      </w:r>
      <w:r>
        <w:rPr>
          <w:rFonts w:eastAsia="仿宋_GB2312" w:hint="eastAsia"/>
          <w:kern w:val="0"/>
          <w:sz w:val="28"/>
        </w:rPr>
        <w:t>44</w:t>
      </w:r>
      <w:r>
        <w:rPr>
          <w:rFonts w:eastAsia="仿宋_GB2312" w:hint="eastAsia"/>
          <w:kern w:val="0"/>
          <w:sz w:val="28"/>
        </w:rPr>
        <w:t>亿潜在消费者，</w:t>
      </w:r>
      <w:r>
        <w:rPr>
          <w:rFonts w:eastAsia="仿宋_GB2312" w:hint="eastAsia"/>
          <w:kern w:val="0"/>
          <w:sz w:val="28"/>
        </w:rPr>
        <w:t>21</w:t>
      </w:r>
      <w:r>
        <w:rPr>
          <w:rFonts w:eastAsia="仿宋_GB2312" w:hint="eastAsia"/>
          <w:kern w:val="0"/>
          <w:sz w:val="28"/>
        </w:rPr>
        <w:t>万亿美元的</w:t>
      </w:r>
      <w:r>
        <w:rPr>
          <w:rFonts w:eastAsia="仿宋_GB2312" w:hint="eastAsia"/>
          <w:kern w:val="0"/>
          <w:sz w:val="28"/>
        </w:rPr>
        <w:t>GDP</w:t>
      </w:r>
      <w:r>
        <w:rPr>
          <w:rFonts w:eastAsia="仿宋_GB2312" w:hint="eastAsia"/>
          <w:kern w:val="0"/>
          <w:sz w:val="28"/>
        </w:rPr>
        <w:t>；“金砖国家”拥有</w:t>
      </w:r>
      <w:r>
        <w:rPr>
          <w:rFonts w:eastAsia="仿宋_GB2312" w:hint="eastAsia"/>
          <w:kern w:val="0"/>
          <w:sz w:val="28"/>
        </w:rPr>
        <w:t>30</w:t>
      </w:r>
      <w:r>
        <w:rPr>
          <w:rFonts w:eastAsia="仿宋_GB2312" w:hint="eastAsia"/>
          <w:kern w:val="0"/>
          <w:sz w:val="28"/>
        </w:rPr>
        <w:t>亿潜在消费者，</w:t>
      </w:r>
      <w:r>
        <w:rPr>
          <w:rFonts w:eastAsia="仿宋_GB2312" w:hint="eastAsia"/>
          <w:kern w:val="0"/>
          <w:sz w:val="28"/>
        </w:rPr>
        <w:t>17</w:t>
      </w:r>
      <w:r>
        <w:rPr>
          <w:rFonts w:eastAsia="仿宋_GB2312" w:hint="eastAsia"/>
          <w:kern w:val="0"/>
          <w:sz w:val="28"/>
        </w:rPr>
        <w:t>万亿美元的</w:t>
      </w:r>
      <w:r>
        <w:rPr>
          <w:rFonts w:eastAsia="仿宋_GB2312" w:hint="eastAsia"/>
          <w:kern w:val="0"/>
          <w:sz w:val="28"/>
        </w:rPr>
        <w:t>GDP</w:t>
      </w:r>
      <w:r>
        <w:rPr>
          <w:rFonts w:eastAsia="仿宋_GB2312" w:hint="eastAsia"/>
          <w:kern w:val="0"/>
          <w:sz w:val="28"/>
        </w:rPr>
        <w:t>，这两大市场将我们的注意力逐步从欧美市场更多地转向新兴国家。他认为，长三角城市群将成为中国企业创新全球化的</w:t>
      </w:r>
      <w:r w:rsidR="004F2E84">
        <w:rPr>
          <w:rFonts w:eastAsia="仿宋" w:hint="eastAsia"/>
          <w:sz w:val="30"/>
        </w:rPr>
        <w:t>“</w:t>
      </w:r>
      <w:r>
        <w:rPr>
          <w:rFonts w:eastAsia="仿宋" w:hint="eastAsia"/>
          <w:sz w:val="30"/>
        </w:rPr>
        <w:t>出海口</w:t>
      </w:r>
      <w:r w:rsidR="004F2E84">
        <w:rPr>
          <w:rFonts w:eastAsia="仿宋" w:hint="eastAsia"/>
          <w:sz w:val="30"/>
        </w:rPr>
        <w:t>”</w:t>
      </w:r>
      <w:r>
        <w:rPr>
          <w:rFonts w:eastAsia="仿宋_GB2312" w:hint="eastAsia"/>
          <w:kern w:val="0"/>
          <w:sz w:val="28"/>
        </w:rPr>
        <w:t>。</w:t>
      </w:r>
    </w:p>
    <w:p w:rsidR="00473F04" w:rsidRDefault="007D50C4" w:rsidP="00D25F3C">
      <w:pPr>
        <w:spacing w:beforeLines="50" w:afterLines="50" w:line="520" w:lineRule="exact"/>
        <w:ind w:firstLineChars="196" w:firstLine="551"/>
        <w:rPr>
          <w:rFonts w:ascii="楷体_GB2312" w:eastAsia="楷体_GB2312"/>
          <w:b/>
          <w:kern w:val="0"/>
          <w:sz w:val="28"/>
        </w:rPr>
      </w:pPr>
      <w:r>
        <w:rPr>
          <w:rFonts w:ascii="楷体_GB2312" w:eastAsia="楷体_GB2312" w:hint="eastAsia"/>
          <w:b/>
          <w:kern w:val="0"/>
          <w:sz w:val="28"/>
        </w:rPr>
        <w:t>二是</w:t>
      </w:r>
      <w:r>
        <w:rPr>
          <w:rFonts w:eastAsia="楷体_GB2312"/>
          <w:b/>
          <w:kern w:val="0"/>
          <w:sz w:val="28"/>
        </w:rPr>
        <w:t>中国</w:t>
      </w:r>
      <w:r w:rsidR="004F2E84">
        <w:rPr>
          <w:rFonts w:eastAsia="楷体_GB2312" w:hint="eastAsia"/>
          <w:b/>
          <w:kern w:val="0"/>
          <w:sz w:val="28"/>
        </w:rPr>
        <w:t>“</w:t>
      </w:r>
      <w:r>
        <w:rPr>
          <w:rFonts w:eastAsia="楷体_GB2312"/>
          <w:b/>
          <w:kern w:val="0"/>
          <w:sz w:val="28"/>
        </w:rPr>
        <w:t>共享经济</w:t>
      </w:r>
      <w:r w:rsidR="004F2E84">
        <w:rPr>
          <w:rFonts w:eastAsia="楷体_GB2312" w:hint="eastAsia"/>
          <w:b/>
          <w:kern w:val="0"/>
          <w:sz w:val="28"/>
        </w:rPr>
        <w:t>”</w:t>
      </w:r>
      <w:r>
        <w:rPr>
          <w:rFonts w:eastAsia="楷体_GB2312"/>
          <w:b/>
          <w:kern w:val="0"/>
          <w:sz w:val="28"/>
        </w:rPr>
        <w:t>模式已具全球影响力</w:t>
      </w:r>
      <w:r>
        <w:rPr>
          <w:rFonts w:eastAsia="仿宋_GB2312" w:hint="eastAsia"/>
          <w:kern w:val="0"/>
          <w:sz w:val="28"/>
        </w:rPr>
        <w:t>。“共享单车”被外国青年誉为中国的“新四大发明”之一，以摩拜、</w:t>
      </w:r>
      <w:r>
        <w:rPr>
          <w:rFonts w:eastAsia="仿宋_GB2312" w:hint="eastAsia"/>
          <w:kern w:val="0"/>
          <w:sz w:val="28"/>
        </w:rPr>
        <w:t>ofo</w:t>
      </w:r>
      <w:r>
        <w:rPr>
          <w:rFonts w:eastAsia="仿宋_GB2312" w:hint="eastAsia"/>
          <w:kern w:val="0"/>
          <w:sz w:val="28"/>
        </w:rPr>
        <w:t>为代表的共享经济龙头企业市场正加速向伦敦、纽约等欧美主要城市延展。</w:t>
      </w:r>
      <w:r>
        <w:rPr>
          <w:rFonts w:eastAsia="黑体"/>
          <w:kern w:val="0"/>
          <w:sz w:val="28"/>
        </w:rPr>
        <w:t>ofo</w:t>
      </w:r>
      <w:r>
        <w:rPr>
          <w:rFonts w:eastAsia="黑体"/>
          <w:kern w:val="0"/>
          <w:sz w:val="28"/>
        </w:rPr>
        <w:t>小黄车上海总经理梅嘉琪</w:t>
      </w:r>
      <w:r>
        <w:rPr>
          <w:rFonts w:eastAsia="仿宋_GB2312" w:hint="eastAsia"/>
          <w:kern w:val="0"/>
          <w:sz w:val="28"/>
        </w:rPr>
        <w:t>认为，共享经济以平台形式存在，产品形态可以在全球各地进行快速的复制与迭代，其扩张成本相对很低，未来共享经济的发展必然走向全球化。全球化能为共享经济带来巨大的商业利益，其产品价值也将在全球化背景下被放大。</w:t>
      </w:r>
    </w:p>
    <w:p w:rsidR="00473F04" w:rsidRDefault="007D50C4" w:rsidP="00D25F3C">
      <w:pPr>
        <w:spacing w:beforeLines="50" w:afterLines="50" w:line="520" w:lineRule="exact"/>
        <w:ind w:firstLineChars="196" w:firstLine="551"/>
        <w:rPr>
          <w:rFonts w:eastAsiaTheme="minorEastAsia"/>
          <w:b/>
          <w:kern w:val="0"/>
          <w:sz w:val="28"/>
        </w:rPr>
      </w:pPr>
      <w:r>
        <w:rPr>
          <w:rFonts w:ascii="楷体_GB2312" w:eastAsia="楷体_GB2312" w:hint="eastAsia"/>
          <w:b/>
          <w:kern w:val="0"/>
          <w:sz w:val="28"/>
        </w:rPr>
        <w:t>三是智能化转型是本土企业全球化的基础。</w:t>
      </w:r>
      <w:r>
        <w:rPr>
          <w:rFonts w:ascii="黑体" w:eastAsia="黑体" w:hAnsi="黑体" w:hint="eastAsia"/>
          <w:kern w:val="0"/>
          <w:sz w:val="28"/>
        </w:rPr>
        <w:t>田丰</w:t>
      </w:r>
      <w:r>
        <w:rPr>
          <w:rFonts w:eastAsia="仿宋_GB2312" w:hint="eastAsia"/>
          <w:kern w:val="0"/>
          <w:sz w:val="28"/>
        </w:rPr>
        <w:t>指出，中国在云计算、大数据、人工智能等新兴经济领域具有优势，国内相关科技型企业有着广阔的创新全球化的前景。而随着智能制造技术的不断成熟，中国企业也正处于数字化转型之路。</w:t>
      </w:r>
      <w:r>
        <w:rPr>
          <w:rFonts w:ascii="黑体" w:eastAsia="黑体" w:hAnsi="黑体" w:hint="eastAsia"/>
          <w:kern w:val="0"/>
          <w:sz w:val="28"/>
        </w:rPr>
        <w:t>顺哲科技发展有限公司董事长，埃森哲全球副总裁、大中华区副主席吴琪</w:t>
      </w:r>
      <w:r>
        <w:rPr>
          <w:rFonts w:eastAsia="仿宋_GB2312" w:hint="eastAsia"/>
          <w:kern w:val="0"/>
          <w:sz w:val="28"/>
        </w:rPr>
        <w:t>指出，新兴数字技术加速了产品和商业模式的创新，在轻资产行业引发了爆炸式颠覆。智能制造给传统产业带来的价值远超过运营效率的提升，而基于数字平台产品、</w:t>
      </w:r>
      <w:r>
        <w:rPr>
          <w:rFonts w:eastAsia="仿宋_GB2312" w:hint="eastAsia"/>
          <w:kern w:val="0"/>
          <w:sz w:val="28"/>
        </w:rPr>
        <w:lastRenderedPageBreak/>
        <w:t>服务和商业模式创新则是释放智能制造价值的关键驱动力。</w:t>
      </w:r>
    </w:p>
    <w:p w:rsidR="00473F04" w:rsidRDefault="007D50C4" w:rsidP="00D25F3C">
      <w:pPr>
        <w:spacing w:beforeLines="50" w:afterLines="50" w:line="520" w:lineRule="exact"/>
        <w:ind w:firstLineChars="196" w:firstLine="590"/>
        <w:rPr>
          <w:rFonts w:ascii="黑体" w:eastAsia="黑体" w:hAnsi="黑体"/>
          <w:b/>
          <w:sz w:val="30"/>
        </w:rPr>
      </w:pPr>
      <w:r>
        <w:rPr>
          <w:rFonts w:ascii="黑体" w:eastAsia="黑体" w:hAnsi="黑体" w:hint="eastAsia"/>
          <w:b/>
          <w:sz w:val="30"/>
        </w:rPr>
        <w:t>二、创新全球化下中国企业全球化发展的建议</w:t>
      </w:r>
    </w:p>
    <w:p w:rsidR="00473F04" w:rsidRDefault="007D50C4" w:rsidP="00D25F3C">
      <w:pPr>
        <w:spacing w:beforeLines="50" w:afterLines="50" w:line="520" w:lineRule="exact"/>
        <w:ind w:firstLineChars="196" w:firstLine="551"/>
        <w:rPr>
          <w:rFonts w:eastAsia="仿宋_GB2312"/>
          <w:kern w:val="0"/>
          <w:sz w:val="28"/>
        </w:rPr>
      </w:pPr>
      <w:r>
        <w:rPr>
          <w:rFonts w:ascii="楷体_GB2312" w:eastAsia="楷体_GB2312" w:hint="eastAsia"/>
          <w:b/>
          <w:kern w:val="0"/>
          <w:sz w:val="28"/>
        </w:rPr>
        <w:t>一是完善企业知识产权战略。</w:t>
      </w:r>
      <w:r>
        <w:rPr>
          <w:rFonts w:eastAsia="仿宋_GB2312" w:hint="eastAsia"/>
          <w:kern w:val="0"/>
          <w:sz w:val="28"/>
        </w:rPr>
        <w:t>知识产权不仅仅是企业进行专利保护的法律工具，更是企业非常重要的商业资产。</w:t>
      </w:r>
      <w:r>
        <w:rPr>
          <w:rFonts w:ascii="黑体" w:eastAsia="黑体" w:hAnsi="黑体"/>
          <w:kern w:val="0"/>
          <w:sz w:val="28"/>
        </w:rPr>
        <w:t>上海新诤信知识产权服务股份有限公司创始人</w:t>
      </w:r>
      <w:r>
        <w:rPr>
          <w:rFonts w:ascii="黑体" w:eastAsia="黑体" w:hAnsi="黑体" w:hint="eastAsia"/>
          <w:kern w:val="0"/>
          <w:sz w:val="28"/>
        </w:rPr>
        <w:t>、</w:t>
      </w:r>
      <w:r w:rsidR="00473F04" w:rsidRPr="00473F04">
        <w:rPr>
          <w:rFonts w:eastAsia="黑体"/>
          <w:kern w:val="0"/>
          <w:sz w:val="28"/>
        </w:rPr>
        <w:t>CEO</w:t>
      </w:r>
      <w:r>
        <w:rPr>
          <w:rFonts w:ascii="黑体" w:eastAsia="黑体" w:hAnsi="黑体"/>
          <w:kern w:val="0"/>
          <w:sz w:val="28"/>
        </w:rPr>
        <w:t>孙凯</w:t>
      </w:r>
      <w:r>
        <w:rPr>
          <w:rFonts w:eastAsia="仿宋_GB2312" w:hint="eastAsia"/>
          <w:kern w:val="0"/>
          <w:sz w:val="28"/>
        </w:rPr>
        <w:t>指出，知识产权可以为科技型企业构筑市场竞争模式，如</w:t>
      </w:r>
      <w:r>
        <w:rPr>
          <w:rFonts w:eastAsia="仿宋_GB2312" w:hint="eastAsia"/>
          <w:kern w:val="0"/>
          <w:sz w:val="28"/>
        </w:rPr>
        <w:t>ARM</w:t>
      </w:r>
      <w:r>
        <w:rPr>
          <w:rFonts w:eastAsia="仿宋_GB2312" w:hint="eastAsia"/>
          <w:kern w:val="0"/>
          <w:sz w:val="28"/>
        </w:rPr>
        <w:t>公司通过专利许可模式构建了盈利模式；高通公司通过知识产权和技术共享，为终端客户提供技术整体解决方案，确立了行业龙头地位；英特尔不仅销售硬件，还与其他硬件厂商共同研发，分享商业上的成功。中国创业公司若要在新兴领域实现弯道超车，需要重视知识产权布局。</w:t>
      </w:r>
    </w:p>
    <w:p w:rsidR="00473F04" w:rsidRDefault="007D50C4" w:rsidP="00D25F3C">
      <w:pPr>
        <w:spacing w:beforeLines="50" w:afterLines="50" w:line="520" w:lineRule="exact"/>
        <w:ind w:firstLineChars="196" w:firstLine="551"/>
        <w:rPr>
          <w:rFonts w:eastAsia="仿宋_GB2312"/>
          <w:kern w:val="0"/>
          <w:sz w:val="28"/>
        </w:rPr>
      </w:pPr>
      <w:r>
        <w:rPr>
          <w:rFonts w:ascii="楷体_GB2312" w:eastAsia="楷体_GB2312" w:hint="eastAsia"/>
          <w:b/>
          <w:kern w:val="0"/>
          <w:sz w:val="28"/>
        </w:rPr>
        <w:t>二是构建完善的全球供应链体系。</w:t>
      </w:r>
      <w:r>
        <w:rPr>
          <w:rFonts w:ascii="黑体" w:eastAsia="黑体" w:hAnsi="黑体" w:hint="eastAsia"/>
          <w:kern w:val="0"/>
          <w:sz w:val="28"/>
        </w:rPr>
        <w:t>西安交通大学公管学院科技政策与发展研究所所长、人居环境学院环境科学与工程中心主任、教授孙海鹰</w:t>
      </w:r>
      <w:r>
        <w:rPr>
          <w:rFonts w:eastAsia="仿宋_GB2312" w:hint="eastAsia"/>
          <w:kern w:val="0"/>
          <w:sz w:val="28"/>
        </w:rPr>
        <w:t>指出，中国参与全球产业分工主要取决于高水平的供应链体系，取决于供应链体系中的核心技术能力。中国企业实现创新发展战略，要着力提高供给体系质量和效率，走向价值链高端；要着力整合吸收全球科技型企业等创新资源，走向高端企业；要着力开展企业内部“双创”，孵化专业化企业，走向高技术原创；要着力发展制造服务业，走向产业高端。</w:t>
      </w:r>
    </w:p>
    <w:p w:rsidR="00473F04" w:rsidRDefault="007D50C4" w:rsidP="00D25F3C">
      <w:pPr>
        <w:spacing w:beforeLines="50" w:afterLines="50" w:line="520" w:lineRule="exact"/>
        <w:ind w:firstLineChars="196" w:firstLine="551"/>
        <w:rPr>
          <w:rFonts w:ascii="FangSong_GB2312" w:eastAsiaTheme="minorEastAsia"/>
          <w:kern w:val="0"/>
          <w:sz w:val="30"/>
          <w:szCs w:val="30"/>
        </w:rPr>
      </w:pPr>
      <w:r>
        <w:rPr>
          <w:rFonts w:ascii="楷体_GB2312" w:eastAsia="楷体_GB2312" w:hint="eastAsia"/>
          <w:b/>
          <w:kern w:val="0"/>
          <w:sz w:val="28"/>
        </w:rPr>
        <w:t>三是进一步加速数字化转型。</w:t>
      </w:r>
      <w:r>
        <w:rPr>
          <w:rFonts w:eastAsia="黑体"/>
          <w:kern w:val="0"/>
          <w:sz w:val="28"/>
        </w:rPr>
        <w:t>梅嘉琪</w:t>
      </w:r>
      <w:r>
        <w:rPr>
          <w:rFonts w:eastAsia="仿宋_GB2312" w:hint="eastAsia"/>
          <w:kern w:val="0"/>
          <w:sz w:val="28"/>
        </w:rPr>
        <w:t>指出，在全球化的过程中，共享经济产品将会面临各种挑战，包括来自产品本地化的挑战，当地政府的行业政策的挑战，以及本地用户使用习惯的挑战。</w:t>
      </w:r>
      <w:r>
        <w:rPr>
          <w:rFonts w:ascii="黑体" w:eastAsia="黑体" w:hAnsi="黑体" w:hint="eastAsia"/>
          <w:kern w:val="0"/>
          <w:sz w:val="28"/>
        </w:rPr>
        <w:t>吴琪</w:t>
      </w:r>
      <w:r>
        <w:rPr>
          <w:rFonts w:eastAsia="仿宋_GB2312" w:hint="eastAsia"/>
          <w:kern w:val="0"/>
          <w:sz w:val="28"/>
        </w:rPr>
        <w:t>认为，中国企业应考虑利用自身优势，加速平台的构建和效应的发挥，在推进智能制造过程中，结合消费平台和开放式创新的产品</w:t>
      </w:r>
      <w:r>
        <w:rPr>
          <w:rFonts w:eastAsia="仿宋_GB2312" w:hint="eastAsia"/>
          <w:kern w:val="0"/>
          <w:sz w:val="28"/>
        </w:rPr>
        <w:t>/</w:t>
      </w:r>
      <w:r>
        <w:rPr>
          <w:rFonts w:eastAsia="仿宋_GB2312" w:hint="eastAsia"/>
          <w:kern w:val="0"/>
          <w:sz w:val="28"/>
        </w:rPr>
        <w:t>服务进行智</w:t>
      </w:r>
      <w:bookmarkStart w:id="1" w:name="_GoBack"/>
      <w:bookmarkEnd w:id="1"/>
      <w:r>
        <w:rPr>
          <w:rFonts w:eastAsia="仿宋_GB2312" w:hint="eastAsia"/>
          <w:kern w:val="0"/>
          <w:sz w:val="28"/>
        </w:rPr>
        <w:t>慧化创新，构建开放型产业平台和生态圈，推动渐进式的智能制造过程升级当加快基础设施建设以及推动创新实验中心的建设。</w:t>
      </w:r>
    </w:p>
    <w:p w:rsidR="00473F04" w:rsidRDefault="00473F04">
      <w:pPr>
        <w:spacing w:line="360" w:lineRule="auto"/>
        <w:ind w:firstLineChars="196" w:firstLine="588"/>
        <w:rPr>
          <w:rFonts w:ascii="FangSong_GB2312" w:eastAsiaTheme="minorEastAsia"/>
          <w:kern w:val="0"/>
          <w:sz w:val="30"/>
          <w:szCs w:val="30"/>
        </w:rPr>
      </w:pPr>
    </w:p>
    <w:p w:rsidR="00473F04" w:rsidRDefault="00473F04">
      <w:pPr>
        <w:spacing w:line="360" w:lineRule="auto"/>
        <w:ind w:firstLineChars="196" w:firstLine="588"/>
        <w:rPr>
          <w:rFonts w:ascii="FangSong_GB2312" w:eastAsiaTheme="minorEastAsia"/>
          <w:kern w:val="0"/>
          <w:sz w:val="30"/>
          <w:szCs w:val="30"/>
        </w:rPr>
      </w:pPr>
    </w:p>
    <w:p w:rsidR="00473F04" w:rsidRDefault="00473F04">
      <w:pPr>
        <w:spacing w:line="360" w:lineRule="auto"/>
        <w:ind w:firstLineChars="196" w:firstLine="588"/>
        <w:rPr>
          <w:rFonts w:ascii="FangSong_GB2312" w:eastAsiaTheme="minorEastAsia"/>
          <w:kern w:val="0"/>
          <w:sz w:val="30"/>
          <w:szCs w:val="30"/>
        </w:rPr>
      </w:pPr>
    </w:p>
    <w:p w:rsidR="004F2E84" w:rsidRDefault="004F2E84">
      <w:pPr>
        <w:spacing w:line="360" w:lineRule="auto"/>
        <w:ind w:firstLineChars="196" w:firstLine="588"/>
        <w:rPr>
          <w:rFonts w:ascii="FangSong_GB2312" w:eastAsiaTheme="minorEastAsia"/>
          <w:kern w:val="0"/>
          <w:sz w:val="30"/>
          <w:szCs w:val="30"/>
        </w:rPr>
      </w:pPr>
    </w:p>
    <w:p w:rsidR="004F2E84" w:rsidRDefault="004F2E84">
      <w:pPr>
        <w:spacing w:line="360" w:lineRule="auto"/>
        <w:ind w:firstLineChars="196" w:firstLine="588"/>
        <w:rPr>
          <w:rFonts w:ascii="FangSong_GB2312" w:eastAsiaTheme="minorEastAsia"/>
          <w:kern w:val="0"/>
          <w:sz w:val="30"/>
          <w:szCs w:val="30"/>
        </w:rPr>
      </w:pPr>
    </w:p>
    <w:p w:rsidR="004F2E84" w:rsidRDefault="004F2E84">
      <w:pPr>
        <w:spacing w:line="360" w:lineRule="auto"/>
        <w:ind w:firstLineChars="196" w:firstLine="588"/>
        <w:rPr>
          <w:rFonts w:ascii="FangSong_GB2312" w:eastAsiaTheme="minorEastAsia"/>
          <w:kern w:val="0"/>
          <w:sz w:val="30"/>
          <w:szCs w:val="30"/>
        </w:rPr>
      </w:pPr>
    </w:p>
    <w:p w:rsidR="004F2E84" w:rsidRDefault="004F2E84">
      <w:pPr>
        <w:spacing w:line="360" w:lineRule="auto"/>
        <w:ind w:firstLineChars="196" w:firstLine="588"/>
        <w:rPr>
          <w:rFonts w:ascii="FangSong_GB2312" w:eastAsiaTheme="minorEastAsia"/>
          <w:kern w:val="0"/>
          <w:sz w:val="30"/>
          <w:szCs w:val="30"/>
        </w:rPr>
      </w:pPr>
    </w:p>
    <w:p w:rsidR="004F2E84" w:rsidRDefault="004F2E84">
      <w:pPr>
        <w:spacing w:line="360" w:lineRule="auto"/>
        <w:ind w:firstLineChars="196" w:firstLine="588"/>
        <w:rPr>
          <w:rFonts w:ascii="FangSong_GB2312" w:eastAsiaTheme="minorEastAsia"/>
          <w:kern w:val="0"/>
          <w:sz w:val="30"/>
          <w:szCs w:val="30"/>
        </w:rPr>
      </w:pPr>
    </w:p>
    <w:p w:rsidR="004F2E84" w:rsidRDefault="004F2E84">
      <w:pPr>
        <w:spacing w:line="360" w:lineRule="auto"/>
        <w:ind w:firstLineChars="196" w:firstLine="588"/>
        <w:rPr>
          <w:rFonts w:ascii="FangSong_GB2312" w:eastAsiaTheme="minorEastAsia"/>
          <w:kern w:val="0"/>
          <w:sz w:val="30"/>
          <w:szCs w:val="30"/>
        </w:rPr>
      </w:pPr>
    </w:p>
    <w:p w:rsidR="004F2E84" w:rsidRDefault="004F2E84">
      <w:pPr>
        <w:spacing w:line="360" w:lineRule="auto"/>
        <w:ind w:firstLineChars="196" w:firstLine="588"/>
        <w:rPr>
          <w:rFonts w:ascii="FangSong_GB2312" w:eastAsiaTheme="minorEastAsia"/>
          <w:kern w:val="0"/>
          <w:sz w:val="30"/>
          <w:szCs w:val="30"/>
        </w:rPr>
      </w:pPr>
    </w:p>
    <w:p w:rsidR="004F2E84" w:rsidRDefault="004F2E84">
      <w:pPr>
        <w:spacing w:line="360" w:lineRule="auto"/>
        <w:ind w:firstLineChars="196" w:firstLine="588"/>
        <w:rPr>
          <w:rFonts w:ascii="FangSong_GB2312" w:eastAsiaTheme="minorEastAsia"/>
          <w:kern w:val="0"/>
          <w:sz w:val="30"/>
          <w:szCs w:val="30"/>
        </w:rPr>
      </w:pPr>
    </w:p>
    <w:p w:rsidR="004F2E84" w:rsidRDefault="004F2E84">
      <w:pPr>
        <w:spacing w:line="360" w:lineRule="auto"/>
        <w:ind w:firstLineChars="196" w:firstLine="588"/>
        <w:rPr>
          <w:rFonts w:ascii="FangSong_GB2312" w:eastAsiaTheme="minorEastAsia"/>
          <w:kern w:val="0"/>
          <w:sz w:val="30"/>
          <w:szCs w:val="30"/>
        </w:rPr>
      </w:pPr>
    </w:p>
    <w:p w:rsidR="004F2E84" w:rsidRDefault="004F2E84">
      <w:pPr>
        <w:spacing w:line="360" w:lineRule="auto"/>
        <w:ind w:firstLineChars="196" w:firstLine="588"/>
        <w:rPr>
          <w:rFonts w:ascii="FangSong_GB2312" w:eastAsiaTheme="minorEastAsia"/>
          <w:kern w:val="0"/>
          <w:sz w:val="30"/>
          <w:szCs w:val="30"/>
        </w:rPr>
      </w:pPr>
    </w:p>
    <w:p w:rsidR="004F2E84" w:rsidRDefault="004F2E84">
      <w:pPr>
        <w:spacing w:line="360" w:lineRule="auto"/>
        <w:ind w:firstLineChars="196" w:firstLine="588"/>
        <w:rPr>
          <w:rFonts w:ascii="FangSong_GB2312" w:eastAsiaTheme="minorEastAsia"/>
          <w:kern w:val="0"/>
          <w:sz w:val="30"/>
          <w:szCs w:val="30"/>
        </w:rPr>
      </w:pPr>
    </w:p>
    <w:p w:rsidR="00473F04" w:rsidRDefault="00473F04">
      <w:pPr>
        <w:spacing w:line="360" w:lineRule="auto"/>
        <w:ind w:firstLineChars="196" w:firstLine="588"/>
        <w:rPr>
          <w:rFonts w:ascii="FangSong_GB2312" w:eastAsiaTheme="minorEastAsia"/>
          <w:kern w:val="0"/>
          <w:sz w:val="30"/>
          <w:szCs w:val="30"/>
        </w:rPr>
      </w:pPr>
    </w:p>
    <w:p w:rsidR="00473F04" w:rsidRDefault="00473F04">
      <w:pPr>
        <w:spacing w:line="360" w:lineRule="auto"/>
        <w:ind w:firstLineChars="196" w:firstLine="588"/>
        <w:rPr>
          <w:rFonts w:ascii="FangSong_GB2312" w:eastAsiaTheme="minorEastAsia"/>
          <w:kern w:val="0"/>
          <w:sz w:val="30"/>
          <w:szCs w:val="30"/>
        </w:rPr>
      </w:pPr>
    </w:p>
    <w:p w:rsidR="00473F04" w:rsidRDefault="007D50C4" w:rsidP="00D25F3C">
      <w:pPr>
        <w:spacing w:beforeLines="50" w:afterLines="50" w:line="520" w:lineRule="exact"/>
        <w:ind w:firstLineChars="196" w:firstLine="551"/>
        <w:jc w:val="right"/>
        <w:rPr>
          <w:rFonts w:eastAsia="楷体_GB2312" w:cs="楷体_GB2312"/>
          <w:b/>
          <w:bCs/>
          <w:kern w:val="0"/>
          <w:sz w:val="28"/>
          <w:szCs w:val="28"/>
        </w:rPr>
      </w:pPr>
      <w:r>
        <w:rPr>
          <w:rFonts w:eastAsia="楷体_GB2312" w:cs="楷体_GB2312" w:hint="eastAsia"/>
          <w:b/>
          <w:bCs/>
          <w:kern w:val="0"/>
          <w:sz w:val="28"/>
          <w:szCs w:val="28"/>
        </w:rPr>
        <w:t>整理：乐嘉昂、汤天波</w:t>
      </w:r>
    </w:p>
    <w:p w:rsidR="00473F04" w:rsidRDefault="00473F04" w:rsidP="00D25F3C">
      <w:pPr>
        <w:spacing w:beforeLines="50" w:afterLines="50" w:line="520" w:lineRule="exact"/>
        <w:ind w:firstLineChars="196" w:firstLine="551"/>
        <w:jc w:val="right"/>
        <w:rPr>
          <w:rFonts w:eastAsia="楷体_GB2312" w:cs="楷体_GB2312"/>
          <w:b/>
          <w:bCs/>
          <w:kern w:val="0"/>
          <w:sz w:val="28"/>
          <w:szCs w:val="28"/>
        </w:rPr>
      </w:pPr>
    </w:p>
    <w:p w:rsidR="00473F04" w:rsidRDefault="00473F04" w:rsidP="00D25F3C">
      <w:pPr>
        <w:spacing w:beforeLines="50" w:afterLines="50" w:line="520" w:lineRule="exact"/>
        <w:jc w:val="right"/>
        <w:rPr>
          <w:rFonts w:eastAsia="楷体_GB2312"/>
          <w:b/>
          <w:sz w:val="28"/>
          <w:szCs w:val="28"/>
        </w:rPr>
      </w:pPr>
    </w:p>
    <w:p w:rsidR="00473F04" w:rsidRDefault="00473F04" w:rsidP="00D25F3C">
      <w:pPr>
        <w:spacing w:beforeLines="50" w:afterLines="50" w:line="520" w:lineRule="exact"/>
        <w:jc w:val="right"/>
        <w:rPr>
          <w:rFonts w:eastAsia="楷体_GB2312"/>
          <w:b/>
          <w:sz w:val="28"/>
          <w:szCs w:val="28"/>
        </w:rPr>
      </w:pPr>
    </w:p>
    <w:p w:rsidR="00473F04" w:rsidRDefault="007D50C4">
      <w:pPr>
        <w:pBdr>
          <w:top w:val="single" w:sz="4" w:space="1" w:color="auto"/>
        </w:pBdr>
        <w:ind w:left="-153" w:right="-284"/>
      </w:pPr>
      <w:r>
        <w:t>责任编辑：汤天波</w:t>
      </w:r>
      <w:r>
        <w:t xml:space="preserve">       </w:t>
      </w:r>
      <w:r>
        <w:t>编辑：张</w:t>
      </w:r>
      <w:r>
        <w:t xml:space="preserve">  </w:t>
      </w:r>
      <w:r>
        <w:t>虹</w:t>
      </w:r>
      <w:r>
        <w:t xml:space="preserve">      </w:t>
      </w:r>
      <w:r>
        <w:t>联系电话：</w:t>
      </w:r>
      <w:r>
        <w:t>64311988-4</w:t>
      </w:r>
      <w:r>
        <w:rPr>
          <w:rFonts w:hint="eastAsia"/>
        </w:rPr>
        <w:t>71</w:t>
      </w:r>
      <w:r>
        <w:t xml:space="preserve">       </w:t>
      </w:r>
      <w:r>
        <w:t>传真：</w:t>
      </w:r>
      <w:r>
        <w:t>64315005</w:t>
      </w:r>
    </w:p>
    <w:p w:rsidR="00473F04" w:rsidRDefault="007D50C4">
      <w:pPr>
        <w:pBdr>
          <w:top w:val="single" w:sz="4" w:space="1" w:color="auto"/>
        </w:pBdr>
        <w:ind w:left="-153" w:right="-284"/>
        <w:rPr>
          <w:rFonts w:ascii="FangSong_GB2312" w:eastAsiaTheme="minorEastAsia"/>
          <w:kern w:val="0"/>
          <w:sz w:val="30"/>
          <w:szCs w:val="30"/>
        </w:rPr>
      </w:pPr>
      <w:r>
        <w:t>地</w:t>
      </w:r>
      <w:r>
        <w:t xml:space="preserve">   </w:t>
      </w:r>
      <w:r>
        <w:t>址：淮海中路</w:t>
      </w:r>
      <w:r>
        <w:t>1634</w:t>
      </w:r>
      <w:r>
        <w:t>号</w:t>
      </w:r>
      <w:r>
        <w:t>412</w:t>
      </w:r>
      <w:r>
        <w:t>室</w:t>
      </w:r>
      <w:r>
        <w:t xml:space="preserve">      </w:t>
      </w:r>
      <w:r>
        <w:t>邮政编码：</w:t>
      </w:r>
      <w:r>
        <w:t xml:space="preserve">200031       </w:t>
      </w:r>
      <w:r>
        <w:t>电子邮件：</w:t>
      </w:r>
      <w:r>
        <w:t>fzzx@stcsm.gov.cn</w:t>
      </w:r>
    </w:p>
    <w:sectPr w:rsidR="00473F04" w:rsidSect="00473F04">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3EE" w:rsidRDefault="003D03EE" w:rsidP="00473F04">
      <w:r>
        <w:separator/>
      </w:r>
    </w:p>
  </w:endnote>
  <w:endnote w:type="continuationSeparator" w:id="1">
    <w:p w:rsidR="003D03EE" w:rsidRDefault="003D03EE" w:rsidP="00473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DengXian Light">
    <w:altName w:val="Arial Unicode MS"/>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04" w:rsidRDefault="006705FD">
    <w:pPr>
      <w:pStyle w:val="a4"/>
      <w:jc w:val="center"/>
    </w:pPr>
    <w:r w:rsidRPr="006705FD">
      <w:fldChar w:fldCharType="begin"/>
    </w:r>
    <w:r w:rsidR="007D50C4">
      <w:instrText xml:space="preserve"> PAGE   \* MERGEFORMAT </w:instrText>
    </w:r>
    <w:r w:rsidRPr="006705FD">
      <w:fldChar w:fldCharType="separate"/>
    </w:r>
    <w:r w:rsidR="00D25F3C" w:rsidRPr="00D25F3C">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3EE" w:rsidRDefault="003D03EE" w:rsidP="00473F04">
      <w:r>
        <w:separator/>
      </w:r>
    </w:p>
  </w:footnote>
  <w:footnote w:type="continuationSeparator" w:id="1">
    <w:p w:rsidR="003D03EE" w:rsidRDefault="003D03EE" w:rsidP="00473F04">
      <w:r>
        <w:continuationSeparator/>
      </w:r>
    </w:p>
  </w:footnote>
  <w:footnote w:id="2">
    <w:p w:rsidR="00473F04" w:rsidRDefault="007D50C4">
      <w:pPr>
        <w:pStyle w:val="a6"/>
        <w:rPr>
          <w:rFonts w:cs="Times New Roman"/>
        </w:rPr>
      </w:pPr>
      <w:r w:rsidRPr="004F2E84">
        <w:rPr>
          <w:rFonts w:ascii="Times New Roman" w:hAnsi="Times New Roman" w:cs="Times New Roman"/>
        </w:rPr>
        <w:footnoteRef/>
      </w:r>
      <w:r w:rsidR="004F2E84">
        <w:rPr>
          <w:rFonts w:ascii="宋体" w:eastAsia="宋体" w:hAnsi="宋体" w:cs="宋体" w:hint="eastAsia"/>
        </w:rPr>
        <w:t xml:space="preserve"> </w:t>
      </w:r>
      <w:r>
        <w:rPr>
          <w:rFonts w:ascii="宋体" w:eastAsia="宋体" w:hAnsi="宋体" w:cs="宋体" w:hint="eastAsia"/>
        </w:rPr>
        <w:t>与会嘉宾包括：上海张江（集团）有限公司董事长、党委书记袁涛，</w:t>
      </w:r>
      <w:r>
        <w:rPr>
          <w:rFonts w:ascii="宋体" w:eastAsia="宋体" w:hAnsi="宋体" w:cs="宋体"/>
        </w:rPr>
        <w:t>阿里云研究中心主任田丰，顺哲科技发展有限公司董事长，埃森哲全球副总裁、大中华区副主席吴琪，霍尼韦尔科技事业部副总裁</w:t>
      </w:r>
      <w:r>
        <w:rPr>
          <w:rFonts w:ascii="宋体" w:eastAsia="宋体" w:hAnsi="宋体" w:cs="宋体" w:hint="eastAsia"/>
        </w:rPr>
        <w:t>、</w:t>
      </w:r>
      <w:r>
        <w:rPr>
          <w:rFonts w:ascii="宋体" w:eastAsia="宋体" w:hAnsi="宋体" w:cs="宋体"/>
        </w:rPr>
        <w:t>中国区总经理罗文中，</w:t>
      </w:r>
      <w:r>
        <w:rPr>
          <w:rFonts w:ascii="宋体" w:eastAsia="宋体" w:hAnsi="宋体" w:cs="宋体" w:hint="eastAsia"/>
        </w:rPr>
        <w:t>上海张江（集团）有限公司副总经济师、营销中心主任楼琦，上海张江文化控股有限公司总经理韩露，</w:t>
      </w:r>
      <w:r w:rsidR="00473F04" w:rsidRPr="00473F04">
        <w:rPr>
          <w:rFonts w:ascii="Times New Roman" w:eastAsia="宋体" w:hAnsi="Times New Roman" w:cs="Times New Roman"/>
        </w:rPr>
        <w:t>ofo</w:t>
      </w:r>
      <w:r>
        <w:rPr>
          <w:rFonts w:ascii="宋体" w:eastAsia="宋体" w:hAnsi="宋体" w:cs="宋体"/>
        </w:rPr>
        <w:t>小黄车上海总经理梅嘉祺，</w:t>
      </w:r>
      <w:r>
        <w:rPr>
          <w:rFonts w:ascii="宋体" w:eastAsia="宋体" w:hAnsi="宋体" w:cs="宋体" w:hint="eastAsia"/>
        </w:rPr>
        <w:t>上海证大喜马拉雅网络科技有限公司联席</w:t>
      </w:r>
      <w:r w:rsidR="00473F04" w:rsidRPr="00473F04">
        <w:rPr>
          <w:rFonts w:ascii="Times New Roman" w:eastAsia="宋体" w:hAnsi="Times New Roman" w:cs="Times New Roman"/>
        </w:rPr>
        <w:t>CEO</w:t>
      </w:r>
      <w:r>
        <w:rPr>
          <w:rFonts w:ascii="宋体" w:eastAsia="宋体" w:hAnsi="宋体" w:cs="宋体" w:hint="eastAsia"/>
        </w:rPr>
        <w:t>余建军，</w:t>
      </w:r>
      <w:r>
        <w:rPr>
          <w:rFonts w:ascii="宋体" w:eastAsia="宋体" w:hAnsi="宋体" w:cs="宋体"/>
        </w:rPr>
        <w:t>上海新诤信知识产权服务股份有限公司创始人</w:t>
      </w:r>
      <w:r>
        <w:rPr>
          <w:rFonts w:ascii="宋体" w:eastAsia="宋体" w:hAnsi="宋体" w:cs="宋体" w:hint="eastAsia"/>
        </w:rPr>
        <w:t>、</w:t>
      </w:r>
      <w:r w:rsidR="00473F04" w:rsidRPr="00473F04">
        <w:rPr>
          <w:rFonts w:ascii="Times New Roman" w:eastAsia="宋体" w:hAnsi="Times New Roman" w:cs="Times New Roman"/>
        </w:rPr>
        <w:t>CEO</w:t>
      </w:r>
      <w:r>
        <w:rPr>
          <w:rFonts w:ascii="宋体" w:eastAsia="宋体" w:hAnsi="宋体" w:cs="宋体"/>
        </w:rPr>
        <w:t>孙凯，西安交通大学公管学院科技政策与发展研究所所长、人居环境学院环境科学与工程中心主任、教授孙海鹰</w:t>
      </w:r>
      <w:r>
        <w:rPr>
          <w:rFonts w:ascii="宋体" w:eastAsia="宋体" w:hAnsi="宋体" w:cs="宋体" w:hint="eastAsia"/>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老报">
    <w15:presenceInfo w15:providerId="WPS Office" w15:userId="2087534533"/>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E75"/>
    <w:rsid w:val="00047EC1"/>
    <w:rsid w:val="0005616F"/>
    <w:rsid w:val="000D3E75"/>
    <w:rsid w:val="001C332A"/>
    <w:rsid w:val="001D3A54"/>
    <w:rsid w:val="001D6775"/>
    <w:rsid w:val="0021179E"/>
    <w:rsid w:val="0021551B"/>
    <w:rsid w:val="003565E0"/>
    <w:rsid w:val="003D03EE"/>
    <w:rsid w:val="003D2597"/>
    <w:rsid w:val="00473F04"/>
    <w:rsid w:val="004E7498"/>
    <w:rsid w:val="004F2E84"/>
    <w:rsid w:val="00555E11"/>
    <w:rsid w:val="005C602E"/>
    <w:rsid w:val="00625D7A"/>
    <w:rsid w:val="00642637"/>
    <w:rsid w:val="006705FD"/>
    <w:rsid w:val="006E5FAC"/>
    <w:rsid w:val="006F6390"/>
    <w:rsid w:val="00764607"/>
    <w:rsid w:val="007D50C4"/>
    <w:rsid w:val="008A0068"/>
    <w:rsid w:val="008B159E"/>
    <w:rsid w:val="00912E62"/>
    <w:rsid w:val="00AE6247"/>
    <w:rsid w:val="00B54DC9"/>
    <w:rsid w:val="00BD0C93"/>
    <w:rsid w:val="00C556CE"/>
    <w:rsid w:val="00C640D9"/>
    <w:rsid w:val="00CC1715"/>
    <w:rsid w:val="00D02FFF"/>
    <w:rsid w:val="00D1373B"/>
    <w:rsid w:val="00D25F3C"/>
    <w:rsid w:val="00D40C3E"/>
    <w:rsid w:val="00E41C07"/>
    <w:rsid w:val="00F33AC4"/>
    <w:rsid w:val="00F60DA9"/>
    <w:rsid w:val="10F42A2E"/>
    <w:rsid w:val="3BC57786"/>
    <w:rsid w:val="75127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qFormat="1"/>
    <w:lsdException w:name="footer" w:semiHidden="0" w:uiPriority="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Normal Table" w:semiHidden="0" w:qFormat="1"/>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F0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473F04"/>
    <w:rPr>
      <w:sz w:val="18"/>
      <w:szCs w:val="18"/>
    </w:rPr>
  </w:style>
  <w:style w:type="paragraph" w:styleId="a4">
    <w:name w:val="footer"/>
    <w:basedOn w:val="a"/>
    <w:link w:val="Char0"/>
    <w:rsid w:val="00473F04"/>
    <w:pPr>
      <w:tabs>
        <w:tab w:val="center" w:pos="4153"/>
        <w:tab w:val="right" w:pos="8306"/>
      </w:tabs>
      <w:snapToGrid w:val="0"/>
      <w:jc w:val="left"/>
    </w:pPr>
    <w:rPr>
      <w:sz w:val="18"/>
    </w:rPr>
  </w:style>
  <w:style w:type="paragraph" w:styleId="a5">
    <w:name w:val="header"/>
    <w:basedOn w:val="a"/>
    <w:link w:val="Char1"/>
    <w:uiPriority w:val="99"/>
    <w:unhideWhenUsed/>
    <w:qFormat/>
    <w:rsid w:val="00473F04"/>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10"/>
    <w:uiPriority w:val="99"/>
    <w:semiHidden/>
    <w:qFormat/>
    <w:rsid w:val="00473F04"/>
    <w:pPr>
      <w:snapToGrid w:val="0"/>
      <w:jc w:val="left"/>
    </w:pPr>
    <w:rPr>
      <w:rFonts w:asciiTheme="minorHAnsi" w:eastAsiaTheme="minorEastAsia" w:hAnsiTheme="minorHAnsi" w:cstheme="minorBidi"/>
      <w:sz w:val="18"/>
      <w:szCs w:val="18"/>
    </w:rPr>
  </w:style>
  <w:style w:type="paragraph" w:styleId="a7">
    <w:name w:val="Normal (Web)"/>
    <w:basedOn w:val="a"/>
    <w:uiPriority w:val="99"/>
    <w:unhideWhenUsed/>
    <w:qFormat/>
    <w:rsid w:val="00473F04"/>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473F04"/>
    <w:rPr>
      <w:b/>
    </w:rPr>
  </w:style>
  <w:style w:type="character" w:styleId="a9">
    <w:name w:val="FollowedHyperlink"/>
    <w:basedOn w:val="a0"/>
    <w:uiPriority w:val="99"/>
    <w:unhideWhenUsed/>
    <w:qFormat/>
    <w:rsid w:val="00473F04"/>
    <w:rPr>
      <w:color w:val="000000"/>
      <w:u w:val="none"/>
    </w:rPr>
  </w:style>
  <w:style w:type="character" w:styleId="aa">
    <w:name w:val="Emphasis"/>
    <w:basedOn w:val="a0"/>
    <w:uiPriority w:val="20"/>
    <w:qFormat/>
    <w:rsid w:val="00473F04"/>
    <w:rPr>
      <w:color w:val="CC0000"/>
    </w:rPr>
  </w:style>
  <w:style w:type="character" w:styleId="ab">
    <w:name w:val="Hyperlink"/>
    <w:basedOn w:val="a0"/>
    <w:uiPriority w:val="99"/>
    <w:unhideWhenUsed/>
    <w:rsid w:val="00473F04"/>
    <w:rPr>
      <w:color w:val="000000"/>
      <w:u w:val="none"/>
    </w:rPr>
  </w:style>
  <w:style w:type="character" w:styleId="HTML">
    <w:name w:val="HTML Cite"/>
    <w:basedOn w:val="a0"/>
    <w:uiPriority w:val="99"/>
    <w:unhideWhenUsed/>
    <w:qFormat/>
    <w:rsid w:val="00473F04"/>
    <w:rPr>
      <w:color w:val="008000"/>
    </w:rPr>
  </w:style>
  <w:style w:type="character" w:customStyle="1" w:styleId="Char0">
    <w:name w:val="页脚 Char"/>
    <w:basedOn w:val="a0"/>
    <w:link w:val="a4"/>
    <w:qFormat/>
    <w:rsid w:val="00473F04"/>
    <w:rPr>
      <w:rFonts w:ascii="Times New Roman" w:eastAsia="宋体" w:hAnsi="Times New Roman" w:cs="Times New Roman"/>
      <w:sz w:val="18"/>
      <w:szCs w:val="20"/>
    </w:rPr>
  </w:style>
  <w:style w:type="character" w:customStyle="1" w:styleId="Char">
    <w:name w:val="批注框文本 Char"/>
    <w:basedOn w:val="a0"/>
    <w:link w:val="a3"/>
    <w:uiPriority w:val="99"/>
    <w:semiHidden/>
    <w:qFormat/>
    <w:rsid w:val="00473F04"/>
    <w:rPr>
      <w:rFonts w:ascii="Times New Roman" w:eastAsia="宋体" w:hAnsi="Times New Roman" w:cs="Times New Roman"/>
      <w:sz w:val="18"/>
      <w:szCs w:val="18"/>
    </w:rPr>
  </w:style>
  <w:style w:type="character" w:customStyle="1" w:styleId="Char1">
    <w:name w:val="页眉 Char"/>
    <w:basedOn w:val="a0"/>
    <w:link w:val="a5"/>
    <w:uiPriority w:val="99"/>
    <w:semiHidden/>
    <w:qFormat/>
    <w:rsid w:val="00473F04"/>
    <w:rPr>
      <w:rFonts w:ascii="Times New Roman" w:eastAsia="宋体" w:hAnsi="Times New Roman" w:cs="Times New Roman"/>
      <w:sz w:val="18"/>
      <w:szCs w:val="18"/>
    </w:rPr>
  </w:style>
  <w:style w:type="character" w:customStyle="1" w:styleId="Char2">
    <w:name w:val="脚注文本 Char"/>
    <w:link w:val="a6"/>
    <w:uiPriority w:val="99"/>
    <w:semiHidden/>
    <w:qFormat/>
    <w:locked/>
    <w:rsid w:val="00473F04"/>
    <w:rPr>
      <w:sz w:val="18"/>
      <w:szCs w:val="18"/>
    </w:rPr>
  </w:style>
  <w:style w:type="character" w:customStyle="1" w:styleId="Char10">
    <w:name w:val="脚注文本 Char1"/>
    <w:basedOn w:val="a0"/>
    <w:link w:val="a6"/>
    <w:uiPriority w:val="99"/>
    <w:semiHidden/>
    <w:qFormat/>
    <w:rsid w:val="00473F04"/>
    <w:rPr>
      <w:rFonts w:ascii="Times New Roman" w:eastAsia="宋体" w:hAnsi="Times New Roman" w:cs="Times New Roman"/>
      <w:sz w:val="18"/>
      <w:szCs w:val="18"/>
    </w:rPr>
  </w:style>
  <w:style w:type="character" w:customStyle="1" w:styleId="lead">
    <w:name w:val="lead"/>
    <w:basedOn w:val="a0"/>
    <w:qFormat/>
    <w:rsid w:val="00473F04"/>
    <w:rPr>
      <w:color w:val="FFFFFF"/>
      <w:shd w:val="clear" w:color="auto" w:fill="000000"/>
    </w:rPr>
  </w:style>
  <w:style w:type="character" w:customStyle="1" w:styleId="cur5">
    <w:name w:val="cur5"/>
    <w:basedOn w:val="a0"/>
    <w:qFormat/>
    <w:rsid w:val="00473F04"/>
  </w:style>
  <w:style w:type="character" w:customStyle="1" w:styleId="last">
    <w:name w:val="last"/>
    <w:basedOn w:val="a0"/>
    <w:qFormat/>
    <w:rsid w:val="00473F04"/>
  </w:style>
  <w:style w:type="character" w:customStyle="1" w:styleId="hover13">
    <w:name w:val="hover13"/>
    <w:basedOn w:val="a0"/>
    <w:qFormat/>
    <w:rsid w:val="00473F04"/>
    <w:rPr>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FC604-7D84-4413-9FA1-A1D84DC1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290</Words>
  <Characters>1658</Characters>
  <Application>Microsoft Office Word</Application>
  <DocSecurity>0</DocSecurity>
  <Lines>13</Lines>
  <Paragraphs>3</Paragraphs>
  <ScaleCrop>false</ScaleCrop>
  <Company>Microsoft</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xy561</dc:creator>
  <cp:lastModifiedBy>Windows User</cp:lastModifiedBy>
  <cp:revision>12</cp:revision>
  <dcterms:created xsi:type="dcterms:W3CDTF">2017-11-07T07:52:00Z</dcterms:created>
  <dcterms:modified xsi:type="dcterms:W3CDTF">2017-11-10T03:26:00Z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